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2023年度国家优秀自费留学生奖学金项目工作流程</w:t>
      </w:r>
    </w:p>
    <w:p>
      <w:pPr>
        <w:jc w:val="center"/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2306955"/>
            <wp:effectExtent l="0" t="0" r="3175" b="9525"/>
            <wp:docPr id="1" name="图片 1" descr="工作流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工作流程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30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 w:eastAsiaTheme="minorEastAsia"/>
          <w:sz w:val="32"/>
          <w:szCs w:val="32"/>
          <w:lang w:eastAsia="zh-CN"/>
        </w:rPr>
        <w:t>注：以上时间均为北京时间。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2F4978"/>
    <w:rsid w:val="542F4978"/>
    <w:rsid w:val="5E2279DF"/>
    <w:rsid w:val="68FA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2023-12-20T12:04:00Z</dcterms:created>
  <dc:creator>ShiYongRen</dc:creator>
  <cp:lastModifiedBy>ShiYongRen</cp:lastModifiedBy>
  <dcterms:modified xsi:type="dcterms:W3CDTF">2023-12-20T13:15:07Z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